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655233">
        <w:rPr>
          <w:rFonts w:ascii="Segoe UI" w:hAnsi="Segoe UI" w:cs="Segoe UI"/>
          <w:b w:val="0"/>
          <w:i w:val="0"/>
          <w:sz w:val="20"/>
          <w:szCs w:val="20"/>
        </w:rPr>
        <w:t>6</w:t>
      </w:r>
      <w:r w:rsidR="00556187" w:rsidRPr="00EF0AC6">
        <w:rPr>
          <w:rFonts w:ascii="Segoe UI" w:hAnsi="Segoe UI" w:cs="Segoe UI"/>
          <w:b w:val="0"/>
          <w:i w:val="0"/>
          <w:sz w:val="20"/>
          <w:szCs w:val="20"/>
        </w:rPr>
        <w:t>.271.1.</w:t>
      </w:r>
      <w:r w:rsidR="001545D3">
        <w:rPr>
          <w:rFonts w:ascii="Segoe UI" w:hAnsi="Segoe UI" w:cs="Segoe UI"/>
          <w:b w:val="0"/>
          <w:i w:val="0"/>
          <w:sz w:val="20"/>
          <w:szCs w:val="20"/>
        </w:rPr>
        <w:t>1.2026</w:t>
      </w:r>
      <w:r w:rsidR="00655233">
        <w:rPr>
          <w:rFonts w:ascii="Segoe UI" w:hAnsi="Segoe UI" w:cs="Segoe UI"/>
          <w:b w:val="0"/>
          <w:i w:val="0"/>
          <w:sz w:val="20"/>
          <w:szCs w:val="20"/>
        </w:rPr>
        <w:t>.AP</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655233" w:rsidP="004008AD">
      <w:pPr>
        <w:pStyle w:val="Tekstpodstawowy"/>
        <w:jc w:val="right"/>
        <w:rPr>
          <w:rFonts w:ascii="Segoe UI" w:hAnsi="Segoe UI" w:cs="Segoe UI"/>
          <w:i w:val="0"/>
          <w:sz w:val="20"/>
          <w:szCs w:val="20"/>
        </w:rPr>
      </w:pPr>
      <w:r>
        <w:rPr>
          <w:rFonts w:ascii="Segoe UI" w:hAnsi="Segoe UI" w:cs="Segoe UI"/>
          <w:i w:val="0"/>
          <w:sz w:val="20"/>
          <w:szCs w:val="20"/>
        </w:rPr>
        <w:t>Z</w:t>
      </w:r>
      <w:r w:rsidR="004008AD" w:rsidRPr="00EF0AC6">
        <w:rPr>
          <w:rFonts w:ascii="Segoe UI" w:hAnsi="Segoe UI" w:cs="Segoe UI"/>
          <w:i w:val="0"/>
          <w:sz w:val="20"/>
          <w:szCs w:val="20"/>
        </w:rPr>
        <w:t xml:space="preserve">ałącznik </w:t>
      </w:r>
      <w:r>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Identyfikator (ID) postępowania na Platformie e-Zamówienia:</w:t>
      </w:r>
    </w:p>
    <w:p w:rsidR="007B6BEC" w:rsidRPr="007B6BEC" w:rsidRDefault="007B6BEC" w:rsidP="007B6BEC">
      <w:pPr>
        <w:suppressAutoHyphens/>
        <w:spacing w:after="0" w:line="240" w:lineRule="auto"/>
        <w:jc w:val="both"/>
        <w:rPr>
          <w:rFonts w:ascii="Segoe UI" w:eastAsia="Times New Roman" w:hAnsi="Segoe UI" w:cs="Segoe UI"/>
          <w:b/>
          <w:bCs/>
          <w:color w:val="000000"/>
          <w:sz w:val="20"/>
          <w:szCs w:val="20"/>
          <w:lang w:eastAsia="pl-PL"/>
        </w:rPr>
      </w:pPr>
      <w:r w:rsidRPr="007B6BEC">
        <w:rPr>
          <w:rFonts w:ascii="Segoe UI" w:eastAsia="Times New Roman" w:hAnsi="Segoe UI" w:cs="Segoe UI"/>
          <w:color w:val="000000"/>
          <w:sz w:val="20"/>
          <w:szCs w:val="20"/>
          <w:lang w:eastAsia="pl-PL"/>
        </w:rPr>
        <w:t>ocds-148610-746b4222-e4e6-4fa6-90ea-1af96fc4a744</w:t>
      </w:r>
    </w:p>
    <w:p w:rsidR="00041792" w:rsidRPr="00EF0AC6" w:rsidRDefault="00041792" w:rsidP="00E222AC">
      <w:pPr>
        <w:suppressAutoHyphens/>
        <w:spacing w:after="0" w:line="240" w:lineRule="auto"/>
        <w:jc w:val="both"/>
        <w:rPr>
          <w:rFonts w:ascii="Segoe UI" w:hAnsi="Segoe UI" w:cs="Segoe UI"/>
          <w:color w:val="2E74B5" w:themeColor="accent1" w:themeShade="BF"/>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Adres strony internetowej prowadzonego postępowania (link prowadzący bezpośrednio do widoku postępowania na Platformie e-Zamówienia):</w:t>
      </w:r>
    </w:p>
    <w:p w:rsidR="00064D36" w:rsidRDefault="007B6BEC" w:rsidP="00E222AC">
      <w:pPr>
        <w:suppressAutoHyphens/>
        <w:spacing w:after="0" w:line="240" w:lineRule="auto"/>
        <w:jc w:val="both"/>
      </w:pPr>
      <w:hyperlink r:id="rId7" w:history="1">
        <w:r w:rsidRPr="009454E4">
          <w:rPr>
            <w:rStyle w:val="Hipercze"/>
          </w:rPr>
          <w:t>https://ezamowienia.gov.pl/mp-client/search/list/ocds-148610-746b4222-e4e6-4fa6-90ea-1af96fc4a744</w:t>
        </w:r>
      </w:hyperlink>
    </w:p>
    <w:p w:rsidR="007B6BEC" w:rsidRPr="00EF0AC6" w:rsidRDefault="007B6BEC" w:rsidP="00E222AC">
      <w:pPr>
        <w:suppressAutoHyphens/>
        <w:spacing w:after="0" w:line="240" w:lineRule="auto"/>
        <w:jc w:val="both"/>
        <w:rPr>
          <w:rFonts w:ascii="Segoe UI" w:hAnsi="Segoe UI" w:cs="Segoe UI"/>
          <w:sz w:val="20"/>
          <w:szCs w:val="20"/>
        </w:rPr>
      </w:pPr>
    </w:p>
    <w:p w:rsidR="00412D38" w:rsidRPr="00ED1836" w:rsidRDefault="00412D38" w:rsidP="00412D38">
      <w:pPr>
        <w:suppressAutoHyphens/>
        <w:spacing w:after="0" w:line="240" w:lineRule="auto"/>
        <w:ind w:left="284"/>
        <w:jc w:val="both"/>
        <w:rPr>
          <w:rFonts w:ascii="Segoe UI" w:hAnsi="Segoe UI" w:cs="Segoe UI"/>
          <w:sz w:val="20"/>
          <w:szCs w:val="20"/>
        </w:rPr>
      </w:pPr>
      <w:r w:rsidRPr="00ED1836">
        <w:rPr>
          <w:rFonts w:ascii="Segoe UI" w:hAnsi="Segoe UI" w:cs="Segoe UI"/>
          <w:sz w:val="20"/>
          <w:szCs w:val="20"/>
        </w:rPr>
        <w:t>Postępowanie można wyszukać również ze strony głównej Platformy e-Zamówienia (przycisk „Przeglądaj postępowania/konkursy”).</w:t>
      </w:r>
    </w:p>
    <w:p w:rsidR="00E222AC" w:rsidRDefault="00E222AC" w:rsidP="00E222AC">
      <w:pPr>
        <w:suppressAutoHyphens/>
        <w:spacing w:after="0" w:line="240" w:lineRule="auto"/>
        <w:jc w:val="both"/>
        <w:rPr>
          <w:rFonts w:ascii="Segoe UI" w:hAnsi="Segoe UI" w:cs="Segoe UI"/>
          <w:sz w:val="20"/>
          <w:szCs w:val="20"/>
        </w:rPr>
      </w:pPr>
    </w:p>
    <w:p w:rsidR="00C2303A" w:rsidRPr="00EF0AC6" w:rsidRDefault="00C2303A" w:rsidP="00E222AC">
      <w:pPr>
        <w:suppressAutoHyphens/>
        <w:spacing w:after="0" w:line="240" w:lineRule="auto"/>
        <w:jc w:val="both"/>
        <w:rPr>
          <w:rFonts w:ascii="Segoe UI" w:hAnsi="Segoe UI" w:cs="Segoe UI"/>
          <w:sz w:val="20"/>
          <w:szCs w:val="20"/>
        </w:rPr>
      </w:pPr>
    </w:p>
    <w:p w:rsidR="00E222AC"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 xml:space="preserve">Adres strony internetowej, na której udostępniane będą zmiany i wyjaśnienia treści SWZ </w:t>
      </w:r>
      <w:r w:rsidRPr="00EF0AC6">
        <w:rPr>
          <w:rFonts w:ascii="Segoe UI" w:hAnsi="Segoe UI" w:cs="Segoe UI"/>
          <w:sz w:val="20"/>
          <w:szCs w:val="20"/>
        </w:rPr>
        <w:br/>
        <w:t>oraz inne dokumenty zamówienia bezpośrednio związane z postępowaniem o udzielenie zamówienia (link prowadzący bezpośrednio do widoku postępowania na Platformie e-Zamówienia):</w:t>
      </w:r>
    </w:p>
    <w:p w:rsidR="00C2303A" w:rsidRPr="00C2303A" w:rsidRDefault="00C2303A" w:rsidP="00C2303A">
      <w:pPr>
        <w:pStyle w:val="Akapitzlist"/>
        <w:suppressAutoHyphens/>
        <w:spacing w:after="0" w:line="240" w:lineRule="auto"/>
        <w:ind w:left="284"/>
        <w:contextualSpacing w:val="0"/>
        <w:jc w:val="both"/>
        <w:rPr>
          <w:rFonts w:ascii="Segoe UI" w:hAnsi="Segoe UI" w:cs="Segoe UI"/>
          <w:sz w:val="20"/>
          <w:szCs w:val="20"/>
        </w:rPr>
      </w:pPr>
    </w:p>
    <w:p w:rsidR="00064D36" w:rsidRDefault="007B6BEC" w:rsidP="00E222AC">
      <w:pPr>
        <w:suppressAutoHyphens/>
        <w:spacing w:after="0" w:line="240" w:lineRule="auto"/>
        <w:jc w:val="both"/>
      </w:pPr>
      <w:hyperlink r:id="rId8" w:history="1">
        <w:r w:rsidRPr="009454E4">
          <w:rPr>
            <w:rStyle w:val="Hipercze"/>
          </w:rPr>
          <w:t>https://ezamowienia.gov.pl/mp-client/search/list/ocds-148610-746b4222-e4e6-4fa6-90ea-1af96fc4a744</w:t>
        </w:r>
      </w:hyperlink>
    </w:p>
    <w:p w:rsidR="007B6BEC" w:rsidRPr="00EF0AC6" w:rsidRDefault="007B6BEC" w:rsidP="00E222AC">
      <w:pPr>
        <w:suppressAutoHyphens/>
        <w:spacing w:after="0" w:line="240" w:lineRule="auto"/>
        <w:jc w:val="both"/>
        <w:rPr>
          <w:rFonts w:ascii="Segoe UI" w:hAnsi="Segoe UI" w:cs="Segoe UI"/>
          <w:sz w:val="20"/>
          <w:szCs w:val="20"/>
        </w:rPr>
      </w:pPr>
      <w:bookmarkStart w:id="0" w:name="_GoBack"/>
      <w:bookmarkEnd w:id="0"/>
    </w:p>
    <w:p w:rsidR="004F1EF7" w:rsidRPr="00EF0AC6" w:rsidRDefault="004F1EF7">
      <w:pPr>
        <w:rPr>
          <w:rFonts w:ascii="Segoe UI" w:hAnsi="Segoe UI" w:cs="Segoe UI"/>
          <w:sz w:val="20"/>
          <w:szCs w:val="20"/>
        </w:rPr>
      </w:pPr>
    </w:p>
    <w:p w:rsidR="00E222AC" w:rsidRPr="00EF0AC6" w:rsidRDefault="00E222AC">
      <w:pPr>
        <w:rPr>
          <w:rFonts w:ascii="Segoe UI" w:hAnsi="Segoe UI" w:cs="Segoe UI"/>
          <w:color w:val="111111"/>
          <w:sz w:val="20"/>
          <w:szCs w:val="20"/>
          <w:shd w:val="clear" w:color="auto" w:fill="FFFFFF"/>
        </w:rPr>
      </w:pPr>
    </w:p>
    <w:p w:rsidR="001B7F8F" w:rsidRPr="00EF0AC6" w:rsidRDefault="001B7F8F">
      <w:pPr>
        <w:rPr>
          <w:rFonts w:ascii="Segoe UI" w:hAnsi="Segoe UI" w:cs="Segoe UI"/>
          <w:color w:val="111111"/>
          <w:sz w:val="20"/>
          <w:szCs w:val="20"/>
          <w:shd w:val="clear" w:color="auto" w:fill="FFFFFF"/>
        </w:rPr>
      </w:pPr>
    </w:p>
    <w:p w:rsidR="00135830" w:rsidRPr="00EF0AC6" w:rsidRDefault="00135830">
      <w:pPr>
        <w:rPr>
          <w:rFonts w:ascii="Segoe UI" w:hAnsi="Segoe UI" w:cs="Segoe UI"/>
          <w:sz w:val="20"/>
          <w:szCs w:val="20"/>
        </w:rPr>
      </w:pPr>
    </w:p>
    <w:sectPr w:rsidR="00135830" w:rsidRPr="00EF0AC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041792"/>
    <w:rsid w:val="00064D36"/>
    <w:rsid w:val="00135830"/>
    <w:rsid w:val="001545D3"/>
    <w:rsid w:val="001B7016"/>
    <w:rsid w:val="001B7F8F"/>
    <w:rsid w:val="002639A4"/>
    <w:rsid w:val="002804A1"/>
    <w:rsid w:val="002C229A"/>
    <w:rsid w:val="003708B1"/>
    <w:rsid w:val="003757F4"/>
    <w:rsid w:val="003D6866"/>
    <w:rsid w:val="004008AD"/>
    <w:rsid w:val="00412D38"/>
    <w:rsid w:val="0047359B"/>
    <w:rsid w:val="004F1EF7"/>
    <w:rsid w:val="00530EEC"/>
    <w:rsid w:val="00556187"/>
    <w:rsid w:val="0057767D"/>
    <w:rsid w:val="00595162"/>
    <w:rsid w:val="005B5292"/>
    <w:rsid w:val="00635B4F"/>
    <w:rsid w:val="00655233"/>
    <w:rsid w:val="00674328"/>
    <w:rsid w:val="00693A50"/>
    <w:rsid w:val="00694E30"/>
    <w:rsid w:val="006B3F00"/>
    <w:rsid w:val="006F2F2E"/>
    <w:rsid w:val="006F5AAF"/>
    <w:rsid w:val="0070197A"/>
    <w:rsid w:val="00716143"/>
    <w:rsid w:val="00731249"/>
    <w:rsid w:val="007647E7"/>
    <w:rsid w:val="007711B8"/>
    <w:rsid w:val="007722EA"/>
    <w:rsid w:val="00774CFD"/>
    <w:rsid w:val="00786D21"/>
    <w:rsid w:val="007B6BEC"/>
    <w:rsid w:val="007E2D10"/>
    <w:rsid w:val="00852977"/>
    <w:rsid w:val="008765B9"/>
    <w:rsid w:val="009015AB"/>
    <w:rsid w:val="00943158"/>
    <w:rsid w:val="009D0995"/>
    <w:rsid w:val="00A1510D"/>
    <w:rsid w:val="00AF04F3"/>
    <w:rsid w:val="00B13345"/>
    <w:rsid w:val="00BA4AC5"/>
    <w:rsid w:val="00C2303A"/>
    <w:rsid w:val="00C319FC"/>
    <w:rsid w:val="00C50F62"/>
    <w:rsid w:val="00C76CFC"/>
    <w:rsid w:val="00C85114"/>
    <w:rsid w:val="00CD3044"/>
    <w:rsid w:val="00CF1404"/>
    <w:rsid w:val="00D20CCC"/>
    <w:rsid w:val="00DA36A2"/>
    <w:rsid w:val="00E222AC"/>
    <w:rsid w:val="00E92E20"/>
    <w:rsid w:val="00EC7A7E"/>
    <w:rsid w:val="00ED1836"/>
    <w:rsid w:val="00EF0AC6"/>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C452"/>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character" w:customStyle="1" w:styleId="Normalny4">
    <w:name w:val="Normalny4"/>
    <w:basedOn w:val="Domylnaczcionkaakapitu"/>
    <w:rsid w:val="006F2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309676939">
      <w:bodyDiv w:val="1"/>
      <w:marLeft w:val="0"/>
      <w:marRight w:val="0"/>
      <w:marTop w:val="0"/>
      <w:marBottom w:val="0"/>
      <w:divBdr>
        <w:top w:val="none" w:sz="0" w:space="0" w:color="auto"/>
        <w:left w:val="none" w:sz="0" w:space="0" w:color="auto"/>
        <w:bottom w:val="none" w:sz="0" w:space="0" w:color="auto"/>
        <w:right w:val="none" w:sz="0" w:space="0" w:color="auto"/>
      </w:divBdr>
    </w:div>
    <w:div w:id="585193370">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770736652">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 w:id="197933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746b4222-e4e6-4fa6-90ea-1af96fc4a744" TargetMode="External"/><Relationship Id="rId3" Type="http://schemas.openxmlformats.org/officeDocument/2006/relationships/settings" Target="settings.xml"/><Relationship Id="rId7" Type="http://schemas.openxmlformats.org/officeDocument/2006/relationships/hyperlink" Target="https://ezamowienia.gov.pl/mp-client/search/list/ocds-148610-746b4222-e4e6-4fa6-90ea-1af96fc4a7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161</Words>
  <Characters>966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Anna Podolańczyk</cp:lastModifiedBy>
  <cp:revision>20</cp:revision>
  <cp:lastPrinted>2021-04-07T14:39:00Z</cp:lastPrinted>
  <dcterms:created xsi:type="dcterms:W3CDTF">2024-02-23T13:28:00Z</dcterms:created>
  <dcterms:modified xsi:type="dcterms:W3CDTF">2026-01-29T11:49:00Z</dcterms:modified>
</cp:coreProperties>
</file>